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и национальное законодательство и отраслевые стандарты по управлению рисками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9.9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и национальное законодательство и отраслевые стандарты по управлению рисками»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«Международное и национальное законодательство и отраслевые стандарты по управлению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и национальное законодательство и отраслевые стандарты по управлению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локальные нормативные акты по управлению рисками в организации (политики, процедуры, регламенты, методики оценки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использовать в профессиональной деятельности законодательство Российской Федерации и отраслевые стандарты по управлению рисками, разрабатывать локальные нормативные акты в области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законодательства Российской Федерации и отраслевые стандарты по управлению рисками, разработки локальных нормативных актов в области управления рисками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«Международное и национальное законодательство и отраслевые стандарты по управлению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333.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 Сущность и содержание управления риском.</w:t>
            </w:r>
          </w:p>
          <w:p>
            <w:pPr>
              <w:jc w:val="both"/>
              <w:spacing w:after="0" w:line="240" w:lineRule="auto"/>
              <w:rPr>
                <w:sz w:val="24"/>
                <w:szCs w:val="24"/>
              </w:rPr>
            </w:pPr>
            <w:r>
              <w:rPr>
                <w:rFonts w:ascii="Times New Roman" w:hAnsi="Times New Roman" w:cs="Times New Roman"/>
                <w:color w:val="#000000"/>
                <w:sz w:val="24"/>
                <w:szCs w:val="24"/>
              </w:rPr>
              <w:t>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w:t>
            </w:r>
          </w:p>
          <w:p>
            <w:pPr>
              <w:jc w:val="both"/>
              <w:spacing w:after="0" w:line="240" w:lineRule="auto"/>
              <w:rPr>
                <w:sz w:val="24"/>
                <w:szCs w:val="24"/>
              </w:rPr>
            </w:pPr>
            <w:r>
              <w:rPr>
                <w:rFonts w:ascii="Times New Roman" w:hAnsi="Times New Roman" w:cs="Times New Roman"/>
                <w:color w:val="#000000"/>
                <w:sz w:val="24"/>
                <w:szCs w:val="24"/>
              </w:rPr>
              <w:t> Этапы эволюции риск-менеджмента.</w:t>
            </w:r>
          </w:p>
          <w:p>
            <w:pPr>
              <w:jc w:val="both"/>
              <w:spacing w:after="0" w:line="240" w:lineRule="auto"/>
              <w:rPr>
                <w:sz w:val="24"/>
                <w:szCs w:val="24"/>
              </w:rPr>
            </w:pPr>
            <w:r>
              <w:rPr>
                <w:rFonts w:ascii="Times New Roman" w:hAnsi="Times New Roman" w:cs="Times New Roman"/>
                <w:color w:val="#000000"/>
                <w:sz w:val="24"/>
                <w:szCs w:val="24"/>
              </w:rPr>
              <w:t> «Микро риск-менеджмент» и «макро-риск-менеджмент» и их основные различия.</w:t>
            </w:r>
          </w:p>
          <w:p>
            <w:pPr>
              <w:jc w:val="both"/>
              <w:spacing w:after="0" w:line="240" w:lineRule="auto"/>
              <w:rPr>
                <w:sz w:val="24"/>
                <w:szCs w:val="24"/>
              </w:rPr>
            </w:pPr>
            <w:r>
              <w:rPr>
                <w:rFonts w:ascii="Times New Roman" w:hAnsi="Times New Roman" w:cs="Times New Roman"/>
                <w:color w:val="#000000"/>
                <w:sz w:val="24"/>
                <w:szCs w:val="24"/>
              </w:rPr>
              <w:t>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величине риска, по характеристике расходов, связанных с риском. Специфические классификации рисков. Влияние рисков на деятельность компании.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системы управления рисками. Задачи, решаемые на первом этапе (фрагментарный подход). Задачи, решаемые на втором этапе (интегральный подход). Политика в области управления рисками. Факторы рисков. Карта рисков. Матрица принятия решений. Регламенты управления рисками. Трехуровневая система управления рисками предприятия. Цели и функции каждого уровня. Эффект от внедрения системы управления рисками. Опыт построения системы управления операционными рисками. Ситуации, показывающая уровень подверженности компании операционными рисками. Требования к системе построения операционных рисков: рисковая модель компании; субъекты управления рисками; регламентирующие документы. Реализация системы: описание бизнес-процессов и выявление рисков; оценка рисков и отбор значимых рисков; разработка мероприятий по управлению рисками; внедрение системы управления рисками. Как система реагирует на операционные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 идентификации и ранжированию рисков.</w:t>
            </w:r>
          </w:p>
          <w:p>
            <w:pPr>
              <w:jc w:val="both"/>
              <w:spacing w:after="0" w:line="240" w:lineRule="auto"/>
              <w:rPr>
                <w:sz w:val="24"/>
                <w:szCs w:val="24"/>
              </w:rPr>
            </w:pPr>
            <w:r>
              <w:rPr>
                <w:rFonts w:ascii="Times New Roman" w:hAnsi="Times New Roman" w:cs="Times New Roman"/>
                <w:color w:val="#000000"/>
                <w:sz w:val="24"/>
                <w:szCs w:val="24"/>
              </w:rPr>
              <w:t> 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pPr>
              <w:jc w:val="both"/>
              <w:spacing w:after="0" w:line="240" w:lineRule="auto"/>
              <w:rPr>
                <w:sz w:val="24"/>
                <w:szCs w:val="24"/>
              </w:rPr>
            </w:pPr>
            <w:r>
              <w:rPr>
                <w:rFonts w:ascii="Times New Roman" w:hAnsi="Times New Roman" w:cs="Times New Roman"/>
                <w:color w:val="#000000"/>
                <w:sz w:val="24"/>
                <w:szCs w:val="24"/>
              </w:rPr>
              <w:t> Характеристика национального стандарта ГОСТ «Менеджмент риска. Термины и определения».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803.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управления риском в российских компаниях. Планирование решений по управлению риском в российских компаниях.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решений по управлению риском в российских компаниях. Исполнение решений по управлению риском в российских компаниях. Анализ результатов решений по управлению риском в российских компаниях.</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Процесс разработки понятия «риск».</w:t>
            </w:r>
          </w:p>
          <w:p>
            <w:pPr>
              <w:jc w:val="left"/>
              <w:spacing w:after="0" w:line="240" w:lineRule="auto"/>
              <w:rPr>
                <w:sz w:val="24"/>
                <w:szCs w:val="24"/>
              </w:rPr>
            </w:pPr>
            <w:r>
              <w:rPr>
                <w:rFonts w:ascii="Times New Roman" w:hAnsi="Times New Roman" w:cs="Times New Roman"/>
                <w:color w:val="#000000"/>
                <w:sz w:val="24"/>
                <w:szCs w:val="24"/>
              </w:rPr>
              <w:t> 2.	Причины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Последствия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Эволюции риск-менеджмента, краткая характеристика этапов.</w:t>
            </w:r>
          </w:p>
          <w:p>
            <w:pPr>
              <w:jc w:val="left"/>
              <w:spacing w:after="0" w:line="240" w:lineRule="auto"/>
              <w:rPr>
                <w:sz w:val="24"/>
                <w:szCs w:val="24"/>
              </w:rPr>
            </w:pPr>
            <w:r>
              <w:rPr>
                <w:rFonts w:ascii="Times New Roman" w:hAnsi="Times New Roman" w:cs="Times New Roman"/>
                <w:color w:val="#000000"/>
                <w:sz w:val="24"/>
                <w:szCs w:val="24"/>
              </w:rPr>
              <w:t> 5.	«Микро риск-менеджмент».</w:t>
            </w:r>
          </w:p>
          <w:p>
            <w:pPr>
              <w:jc w:val="left"/>
              <w:spacing w:after="0" w:line="240" w:lineRule="auto"/>
              <w:rPr>
                <w:sz w:val="24"/>
                <w:szCs w:val="24"/>
              </w:rPr>
            </w:pPr>
            <w:r>
              <w:rPr>
                <w:rFonts w:ascii="Times New Roman" w:hAnsi="Times New Roman" w:cs="Times New Roman"/>
                <w:color w:val="#000000"/>
                <w:sz w:val="24"/>
                <w:szCs w:val="24"/>
              </w:rPr>
              <w:t> 6.	«Макро-риск-менеджмент».</w:t>
            </w:r>
          </w:p>
          <w:p>
            <w:pPr>
              <w:jc w:val="left"/>
              <w:spacing w:after="0" w:line="240" w:lineRule="auto"/>
              <w:rPr>
                <w:sz w:val="24"/>
                <w:szCs w:val="24"/>
              </w:rPr>
            </w:pPr>
            <w:r>
              <w:rPr>
                <w:rFonts w:ascii="Times New Roman" w:hAnsi="Times New Roman" w:cs="Times New Roman"/>
                <w:color w:val="#000000"/>
                <w:sz w:val="24"/>
                <w:szCs w:val="24"/>
              </w:rPr>
              <w:t> 7.	Основные различия «микро риск-менеджмента» и «макро-риск-менеджмента».</w:t>
            </w:r>
          </w:p>
          <w:p>
            <w:pPr>
              <w:jc w:val="left"/>
              <w:spacing w:after="0" w:line="240" w:lineRule="auto"/>
              <w:rPr>
                <w:sz w:val="24"/>
                <w:szCs w:val="24"/>
              </w:rPr>
            </w:pPr>
            <w:r>
              <w:rPr>
                <w:rFonts w:ascii="Times New Roman" w:hAnsi="Times New Roman" w:cs="Times New Roman"/>
                <w:color w:val="#000000"/>
                <w:sz w:val="24"/>
                <w:szCs w:val="24"/>
              </w:rPr>
              <w:t> 8.	Классификация рисков по различным критериям.</w:t>
            </w:r>
          </w:p>
          <w:p>
            <w:pPr>
              <w:jc w:val="left"/>
              <w:spacing w:after="0" w:line="240" w:lineRule="auto"/>
              <w:rPr>
                <w:sz w:val="24"/>
                <w:szCs w:val="24"/>
              </w:rPr>
            </w:pPr>
            <w:r>
              <w:rPr>
                <w:rFonts w:ascii="Times New Roman" w:hAnsi="Times New Roman" w:cs="Times New Roman"/>
                <w:color w:val="#000000"/>
                <w:sz w:val="24"/>
                <w:szCs w:val="24"/>
              </w:rPr>
              <w:t> 9.	Влияние рисков на деятельность компании.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2.	Анализ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3.	Качественная / количественная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4.	Мероприятия по управлению рисками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5.	Отчет о рисках и информационные потоки согласно стандартам ISO/IEC</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2.	Функции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Принципы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Национальные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5.	ГОСТ «Менеджмент риска. Термины и определения».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left"/>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left"/>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left"/>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left"/>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21.31518"/>
        </w:trPr>
        <w:tc>
          <w:tcPr>
            <w:tcW w:w="9640" w:type="dxa"/>
          </w:tcPr>
          <w:p/>
        </w:tc>
      </w:tr>
      <w:tr>
        <w:trPr>
          <w:trHeight w:hRule="exact" w:val="505.23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Стандарты используются в отечественных организациях - Стандарт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рисками FERMA</w:t>
            </w:r>
          </w:p>
          <w:p>
            <w:pPr>
              <w:jc w:val="left"/>
              <w:spacing w:after="0" w:line="240" w:lineRule="auto"/>
              <w:rPr>
                <w:sz w:val="24"/>
                <w:szCs w:val="24"/>
              </w:rPr>
            </w:pPr>
            <w:r>
              <w:rPr>
                <w:rFonts w:ascii="Times New Roman" w:hAnsi="Times New Roman" w:cs="Times New Roman"/>
                <w:color w:val="#000000"/>
                <w:sz w:val="24"/>
                <w:szCs w:val="24"/>
              </w:rPr>
              <w:t> 2.	Стандарты используются в отечественных организациях - Стандарт COSO ERM</w:t>
            </w:r>
          </w:p>
          <w:p>
            <w:pPr>
              <w:jc w:val="left"/>
              <w:spacing w:after="0" w:line="240" w:lineRule="auto"/>
              <w:rPr>
                <w:sz w:val="24"/>
                <w:szCs w:val="24"/>
              </w:rPr>
            </w:pPr>
            <w:r>
              <w:rPr>
                <w:rFonts w:ascii="Times New Roman" w:hAnsi="Times New Roman" w:cs="Times New Roman"/>
                <w:color w:val="#000000"/>
                <w:sz w:val="24"/>
                <w:szCs w:val="24"/>
              </w:rPr>
              <w:t> 3.	Национальный стандарт Российской Федерации ГОСТ Р 51897–2011. Менеджмент риска.</w:t>
            </w:r>
          </w:p>
          <w:p>
            <w:pPr>
              <w:jc w:val="left"/>
              <w:spacing w:after="0" w:line="240" w:lineRule="auto"/>
              <w:rPr>
                <w:sz w:val="24"/>
                <w:szCs w:val="24"/>
              </w:rPr>
            </w:pPr>
            <w:r>
              <w:rPr>
                <w:rFonts w:ascii="Times New Roman" w:hAnsi="Times New Roman" w:cs="Times New Roman"/>
                <w:color w:val="#000000"/>
                <w:sz w:val="24"/>
                <w:szCs w:val="24"/>
              </w:rPr>
              <w:t> 4.	Национальный стандарт Российской Федерации - ГОСТ Р 56275–2014. Менеджмент рисков. Руководство по надлежащей практике менеджмента рисков проектов (</w:t>
            </w:r>
          </w:p>
          <w:p>
            <w:pPr>
              <w:jc w:val="left"/>
              <w:spacing w:after="0" w:line="240" w:lineRule="auto"/>
              <w:rPr>
                <w:sz w:val="24"/>
                <w:szCs w:val="24"/>
              </w:rPr>
            </w:pPr>
            <w:r>
              <w:rPr>
                <w:rFonts w:ascii="Times New Roman" w:hAnsi="Times New Roman" w:cs="Times New Roman"/>
                <w:color w:val="#000000"/>
                <w:sz w:val="24"/>
                <w:szCs w:val="24"/>
              </w:rPr>
              <w:t> 5.	ГОСТ Р 52806–2007. Менеджмент рисков проектов. Общие положения</w:t>
            </w:r>
          </w:p>
          <w:p>
            <w:pPr>
              <w:jc w:val="left"/>
              <w:spacing w:after="0" w:line="240" w:lineRule="auto"/>
              <w:rPr>
                <w:sz w:val="24"/>
                <w:szCs w:val="24"/>
              </w:rPr>
            </w:pPr>
            <w:r>
              <w:rPr>
                <w:rFonts w:ascii="Times New Roman" w:hAnsi="Times New Roman" w:cs="Times New Roman"/>
                <w:color w:val="#000000"/>
                <w:sz w:val="24"/>
                <w:szCs w:val="24"/>
              </w:rPr>
              <w:t> 6.	ГОСТ Р ИСО 31000– 2019. Менеджмент риска. Принципы и руководство</w:t>
            </w:r>
          </w:p>
          <w:p>
            <w:pPr>
              <w:jc w:val="left"/>
              <w:spacing w:after="0" w:line="240" w:lineRule="auto"/>
              <w:rPr>
                <w:sz w:val="24"/>
                <w:szCs w:val="24"/>
              </w:rPr>
            </w:pPr>
            <w:r>
              <w:rPr>
                <w:rFonts w:ascii="Times New Roman" w:hAnsi="Times New Roman" w:cs="Times New Roman"/>
                <w:color w:val="#000000"/>
                <w:sz w:val="24"/>
                <w:szCs w:val="24"/>
              </w:rPr>
              <w:t> 7.	ГОСТР 58771 – 2019. Менеджмент риска. Технологии оценки риска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и национальное законодательство и отраслевые стандарты по управлению рисками»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646.2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https://urait.ru/bcode/490636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2022-2023_ФГОС3++2022_Бак-ОЗФО-Мен_(Мзд)(22)_plx_Международное и национальное законодательство и отраслевые стандарты по управлению рисками</dc:title>
  <dc:creator>FastReport.NET</dc:creator>
</cp:coreProperties>
</file>